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</w:t>
      </w:r>
      <w:r w:rsidR="00586798">
        <w:rPr>
          <w:rFonts w:ascii="Arial" w:hAnsi="Arial" w:cs="Arial"/>
          <w:b/>
          <w:sz w:val="32"/>
          <w:szCs w:val="32"/>
        </w:rPr>
        <w:t xml:space="preserve">                               БАРАБАНОВСКИЙ</w:t>
      </w:r>
      <w:r w:rsidRPr="000A1417">
        <w:rPr>
          <w:rFonts w:ascii="Arial" w:eastAsia="Calibri" w:hAnsi="Arial" w:cs="Arial"/>
          <w:b/>
          <w:sz w:val="32"/>
          <w:szCs w:val="32"/>
        </w:rPr>
        <w:t xml:space="preserve">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80524F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586798">
        <w:rPr>
          <w:rFonts w:ascii="Arial" w:hAnsi="Arial" w:cs="Arial"/>
          <w:sz w:val="28"/>
          <w:szCs w:val="28"/>
        </w:rPr>
        <w:t xml:space="preserve"> января 2019</w:t>
      </w:r>
      <w:r w:rsidR="000A1417" w:rsidRPr="00910101">
        <w:rPr>
          <w:rFonts w:ascii="Arial" w:hAnsi="Arial" w:cs="Arial"/>
          <w:sz w:val="28"/>
          <w:szCs w:val="28"/>
        </w:rPr>
        <w:t xml:space="preserve">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>1</w:t>
      </w:r>
      <w:r w:rsidR="00910101">
        <w:rPr>
          <w:rFonts w:ascii="Arial" w:hAnsi="Arial" w:cs="Arial"/>
          <w:sz w:val="28"/>
          <w:szCs w:val="28"/>
        </w:rPr>
        <w:t>/1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муни</w:t>
      </w:r>
      <w:r w:rsidR="00586798">
        <w:rPr>
          <w:rFonts w:ascii="Arial" w:hAnsi="Arial" w:cs="Arial"/>
          <w:bCs/>
          <w:color w:val="000000"/>
          <w:sz w:val="28"/>
          <w:szCs w:val="28"/>
        </w:rPr>
        <w:t>ципального образования Барабановский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</w:t>
      </w:r>
      <w:r w:rsidR="00586798">
        <w:rPr>
          <w:rFonts w:ascii="Arial" w:hAnsi="Arial" w:cs="Arial"/>
          <w:bCs/>
          <w:color w:val="000000"/>
          <w:sz w:val="28"/>
          <w:szCs w:val="28"/>
        </w:rPr>
        <w:t>иципального образования Барабановский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9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муни</w:t>
      </w:r>
      <w:r w:rsidR="00586798">
        <w:rPr>
          <w:rFonts w:ascii="Arial" w:hAnsi="Arial" w:cs="Arial"/>
          <w:bCs/>
          <w:color w:val="000000"/>
          <w:sz w:val="28"/>
          <w:szCs w:val="28"/>
        </w:rPr>
        <w:t>ципального образования Барабановский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Контроль за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</w:t>
      </w:r>
      <w:r w:rsidR="00586798">
        <w:rPr>
          <w:rFonts w:ascii="Arial" w:hAnsi="Arial" w:cs="Arial"/>
          <w:sz w:val="28"/>
          <w:szCs w:val="28"/>
        </w:rPr>
        <w:t>м сайте администрации Барабановского</w:t>
      </w:r>
      <w:r w:rsidRPr="00910101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области.</w:t>
      </w:r>
    </w:p>
    <w:p w:rsidR="00586798" w:rsidRDefault="00586798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514499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10101" w:rsidRPr="00910101">
        <w:rPr>
          <w:rFonts w:ascii="Arial" w:hAnsi="Arial" w:cs="Arial"/>
          <w:sz w:val="28"/>
          <w:szCs w:val="28"/>
        </w:rPr>
        <w:t>Глав</w:t>
      </w:r>
      <w:r w:rsidR="00586798">
        <w:rPr>
          <w:rFonts w:ascii="Arial" w:hAnsi="Arial" w:cs="Arial"/>
          <w:sz w:val="28"/>
          <w:szCs w:val="28"/>
        </w:rPr>
        <w:t>а</w:t>
      </w:r>
      <w:r w:rsidR="00910101" w:rsidRPr="00910101">
        <w:rPr>
          <w:rFonts w:ascii="Arial" w:hAnsi="Arial" w:cs="Arial"/>
          <w:sz w:val="28"/>
          <w:szCs w:val="28"/>
        </w:rPr>
        <w:t xml:space="preserve"> администрации </w:t>
      </w:r>
      <w:r w:rsidR="00586798">
        <w:rPr>
          <w:rFonts w:ascii="Arial" w:hAnsi="Arial" w:cs="Arial"/>
          <w:sz w:val="28"/>
          <w:szCs w:val="28"/>
        </w:rPr>
        <w:t>:                                       Киян В.Н.</w:t>
      </w:r>
    </w:p>
    <w:p w:rsidR="001A3A44" w:rsidRPr="00910101" w:rsidRDefault="00586798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Разослано: райфо, ЦБУ Новосергиевского района, орготделу,  прокурору.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№ 1 к постановлению </w:t>
      </w:r>
    </w:p>
    <w:p w:rsid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586798">
        <w:rPr>
          <w:rFonts w:ascii="Arial" w:hAnsi="Arial" w:cs="Arial"/>
        </w:rPr>
        <w:t>Барабановского</w:t>
      </w:r>
      <w:r w:rsidRPr="0091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910101" w:rsidRP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Новосергиевского района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58679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F1629">
        <w:rPr>
          <w:rFonts w:ascii="Arial" w:hAnsi="Arial" w:cs="Arial"/>
        </w:rPr>
        <w:t>от 17</w:t>
      </w:r>
      <w:r w:rsidR="00586798">
        <w:rPr>
          <w:rFonts w:ascii="Arial" w:hAnsi="Arial" w:cs="Arial"/>
        </w:rPr>
        <w:t>.01.2019</w:t>
      </w:r>
      <w:r w:rsidRPr="00910101">
        <w:rPr>
          <w:rFonts w:ascii="Arial" w:hAnsi="Arial" w:cs="Arial"/>
        </w:rPr>
        <w:t xml:space="preserve"> г.  № </w:t>
      </w:r>
      <w:r w:rsidR="005F1629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r w:rsidR="00586798">
        <w:rPr>
          <w:rFonts w:ascii="Arial" w:hAnsi="Arial" w:cs="Arial"/>
          <w:sz w:val="28"/>
          <w:szCs w:val="28"/>
        </w:rPr>
        <w:t>Барабановский</w:t>
      </w:r>
      <w:r>
        <w:rPr>
          <w:rFonts w:ascii="Arial" w:hAnsi="Arial" w:cs="Arial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</w:t>
      </w:r>
      <w:r w:rsidR="005F1629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 </w:t>
      </w:r>
      <w:r w:rsidR="00586798">
        <w:rPr>
          <w:rFonts w:ascii="Arial" w:hAnsi="Arial" w:cs="Arial"/>
          <w:sz w:val="28"/>
          <w:szCs w:val="28"/>
        </w:rPr>
        <w:t>Барабановского</w:t>
      </w:r>
      <w:r>
        <w:rPr>
          <w:rFonts w:ascii="Arial" w:hAnsi="Arial" w:cs="Arial"/>
          <w:sz w:val="28"/>
          <w:szCs w:val="28"/>
        </w:rPr>
        <w:t xml:space="preserve"> сельсовета </w:t>
      </w:r>
      <w:r w:rsidRPr="00910101">
        <w:rPr>
          <w:rFonts w:ascii="Arial" w:hAnsi="Arial" w:cs="Arial"/>
          <w:sz w:val="28"/>
          <w:szCs w:val="28"/>
        </w:rPr>
        <w:t>Новосергиевского района, и (или) к расходным обязательствам, подлежащим исполнению за счет средств районного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Структура 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5F1629">
        <w:rPr>
          <w:rFonts w:ascii="Arial" w:hAnsi="Arial" w:cs="Arial"/>
          <w:snapToGrid w:val="0"/>
          <w:sz w:val="28"/>
          <w:szCs w:val="28"/>
        </w:rPr>
        <w:t>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муниципального образования </w:t>
      </w:r>
      <w:r w:rsidR="005F1629">
        <w:rPr>
          <w:rFonts w:ascii="Arial" w:hAnsi="Arial" w:cs="Arial"/>
          <w:snapToGrid w:val="0"/>
          <w:sz w:val="28"/>
          <w:szCs w:val="28"/>
        </w:rPr>
        <w:t>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lastRenderedPageBreak/>
        <w:t>муниц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ипального образования Барабановский </w:t>
      </w:r>
      <w:r w:rsidR="00192AD5">
        <w:rPr>
          <w:rFonts w:ascii="Arial" w:hAnsi="Arial" w:cs="Arial"/>
          <w:snapToGrid w:val="0"/>
          <w:sz w:val="28"/>
          <w:szCs w:val="28"/>
        </w:rPr>
        <w:t>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>0, 1, 2, 3, 4, 5, 6, 7, 8, 9, А, Б, В, Г, Д, Е, Ж, И, К, Л, М, Н, О, П,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или непрограммных 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>муниц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ипального образования Барабановский </w:t>
      </w:r>
      <w:r w:rsidR="00192AD5">
        <w:rPr>
          <w:rFonts w:ascii="Arial" w:hAnsi="Arial" w:cs="Arial"/>
          <w:snapToGrid w:val="0"/>
          <w:sz w:val="28"/>
          <w:szCs w:val="28"/>
        </w:rPr>
        <w:t>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основных мероприятий</w:t>
      </w:r>
      <w:r w:rsidR="003131A4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,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ципального образования Барабановский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ципального образования Барабановский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ципального образования Барабановский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ципального образования Барабановский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Барабановский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ципального образования Барабановский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ипального образования Барабановский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Новосергиевского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со</w:t>
      </w:r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</w:t>
      </w:r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финансирования,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</w:t>
      </w:r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Новосергиевского</w:t>
      </w:r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Новосергиевского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по направлениям расходов в рамках целевого назначения предоставляемых межбюджетных трансфертов. 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(со</w:t>
      </w:r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="001F445C">
        <w:rPr>
          <w:rFonts w:ascii="Arial" w:hAnsi="Arial" w:cs="Arial"/>
          <w:snapToGrid w:val="0"/>
          <w:sz w:val="28"/>
          <w:szCs w:val="28"/>
        </w:rPr>
        <w:t>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>ципального образования Барабановский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3131A4">
        <w:rPr>
          <w:rFonts w:ascii="Arial" w:hAnsi="Arial" w:cs="Arial"/>
          <w:snapToGrid w:val="0"/>
          <w:sz w:val="28"/>
          <w:szCs w:val="28"/>
        </w:rPr>
        <w:t>Барабановский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3131A4">
        <w:rPr>
          <w:rFonts w:ascii="Arial" w:hAnsi="Arial" w:cs="Arial"/>
          <w:snapToGrid w:val="0"/>
          <w:sz w:val="28"/>
          <w:szCs w:val="28"/>
        </w:rPr>
        <w:t xml:space="preserve">Барабановский </w:t>
      </w:r>
      <w:r w:rsidR="001F445C">
        <w:rPr>
          <w:rFonts w:ascii="Arial" w:hAnsi="Arial" w:cs="Arial"/>
          <w:snapToGrid w:val="0"/>
          <w:sz w:val="28"/>
          <w:szCs w:val="28"/>
        </w:rPr>
        <w:t>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586798" w:rsidRPr="00910101" w:rsidRDefault="00586798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7710059302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2030199060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Прочие мероприятия по благоустройству городских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</w:t>
            </w:r>
            <w:r w:rsidR="003131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AB63C7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AB63C7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AB63C7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2F" w:rsidRDefault="00A7642F" w:rsidP="00910101">
      <w:pPr>
        <w:spacing w:after="0" w:line="240" w:lineRule="auto"/>
      </w:pPr>
      <w:r>
        <w:separator/>
      </w:r>
    </w:p>
  </w:endnote>
  <w:endnote w:type="continuationSeparator" w:id="0">
    <w:p w:rsidR="00A7642F" w:rsidRDefault="00A7642F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2F" w:rsidRDefault="00A7642F" w:rsidP="00910101">
      <w:pPr>
        <w:spacing w:after="0" w:line="240" w:lineRule="auto"/>
      </w:pPr>
      <w:r>
        <w:separator/>
      </w:r>
    </w:p>
  </w:footnote>
  <w:footnote w:type="continuationSeparator" w:id="0">
    <w:p w:rsidR="00A7642F" w:rsidRDefault="00A7642F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B"/>
    <w:rsid w:val="00073F7A"/>
    <w:rsid w:val="000A1417"/>
    <w:rsid w:val="00192AD5"/>
    <w:rsid w:val="001A3A44"/>
    <w:rsid w:val="001F3FDE"/>
    <w:rsid w:val="001F445C"/>
    <w:rsid w:val="002701E2"/>
    <w:rsid w:val="002E6742"/>
    <w:rsid w:val="00301DEB"/>
    <w:rsid w:val="003131A4"/>
    <w:rsid w:val="00465B1E"/>
    <w:rsid w:val="00514499"/>
    <w:rsid w:val="00586798"/>
    <w:rsid w:val="005C7397"/>
    <w:rsid w:val="005F1629"/>
    <w:rsid w:val="00634F14"/>
    <w:rsid w:val="00683F43"/>
    <w:rsid w:val="006A3709"/>
    <w:rsid w:val="007F776B"/>
    <w:rsid w:val="0080524F"/>
    <w:rsid w:val="00894782"/>
    <w:rsid w:val="00910101"/>
    <w:rsid w:val="00965A8D"/>
    <w:rsid w:val="009857DD"/>
    <w:rsid w:val="00A612D5"/>
    <w:rsid w:val="00A7642F"/>
    <w:rsid w:val="00AB63C7"/>
    <w:rsid w:val="00AC2CA4"/>
    <w:rsid w:val="00B33716"/>
    <w:rsid w:val="00B7133C"/>
    <w:rsid w:val="00BA7DF0"/>
    <w:rsid w:val="00BB4AB7"/>
    <w:rsid w:val="00C63153"/>
    <w:rsid w:val="00DE7A2E"/>
    <w:rsid w:val="00E64161"/>
    <w:rsid w:val="00F12745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8FEB0712FA1E86077A5D8C875A0DFFAF102540A1B597A587A4D450A09C2D68FDADFD479A6547F1Y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D8F5-9619-44A5-93FA-7B59E856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spec</cp:lastModifiedBy>
  <cp:revision>2</cp:revision>
  <cp:lastPrinted>2018-03-10T06:26:00Z</cp:lastPrinted>
  <dcterms:created xsi:type="dcterms:W3CDTF">2020-02-11T06:31:00Z</dcterms:created>
  <dcterms:modified xsi:type="dcterms:W3CDTF">2020-02-11T06:31:00Z</dcterms:modified>
</cp:coreProperties>
</file>